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36C12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绿化垃圾处置及清运采购要求</w:t>
      </w:r>
    </w:p>
    <w:p w14:paraId="52B15A5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6FF84A23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一、项目概况</w:t>
      </w:r>
    </w:p>
    <w:p w14:paraId="447B392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为提升工作效率，降低综合成本与管理风险，现对年度绿化垃圾处置及清运服务进行整合采购。本项目采用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总价包干、按实结算</w:t>
      </w:r>
      <w:r>
        <w:rPr>
          <w:rFonts w:hint="eastAsia" w:ascii="仿宋" w:hAnsi="仿宋" w:eastAsia="仿宋" w:cs="仿宋"/>
          <w:sz w:val="24"/>
          <w:szCs w:val="24"/>
        </w:rPr>
        <w:t>的方式，费用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预算</w:t>
      </w:r>
      <w:r>
        <w:rPr>
          <w:rFonts w:hint="eastAsia" w:ascii="仿宋" w:hAnsi="仿宋" w:eastAsia="仿宋" w:cs="仿宋"/>
          <w:sz w:val="24"/>
          <w:szCs w:val="24"/>
        </w:rPr>
        <w:t>总额为人民币50,000元。服务商需负责提供符合要求的绿化垃圾处置场地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或自行安排无害化处理</w:t>
      </w:r>
      <w:r>
        <w:rPr>
          <w:rFonts w:hint="eastAsia" w:ascii="仿宋" w:hAnsi="仿宋" w:eastAsia="仿宋" w:cs="仿宋"/>
          <w:sz w:val="24"/>
          <w:szCs w:val="24"/>
        </w:rPr>
        <w:t>，并承担由此产生的相关费用，同时负责将绿化垃圾从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</w:rPr>
        <w:t>指定收集点清运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离场</w:t>
      </w:r>
      <w:r>
        <w:rPr>
          <w:rFonts w:hint="eastAsia" w:ascii="仿宋" w:hAnsi="仿宋" w:eastAsia="仿宋" w:cs="仿宋"/>
          <w:sz w:val="24"/>
          <w:szCs w:val="24"/>
        </w:rPr>
        <w:t>。采购人将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根据实际清运车次与服务商进行结算，直至预算金额使用完毕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056780BF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 w14:paraId="11343623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二、服务内容及要求</w:t>
      </w:r>
    </w:p>
    <w:p w14:paraId="59A8FAE5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1.处置服务：服务商必须自行拥有或合法租赁符合环保、安全要求的绿化垃圾处置场地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需在报名表内附堆放场地图片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和方式</w:t>
      </w:r>
      <w:r>
        <w:rPr>
          <w:rFonts w:hint="eastAsia" w:ascii="仿宋" w:hAnsi="仿宋" w:eastAsia="仿宋" w:cs="仿宋"/>
          <w:sz w:val="24"/>
          <w:szCs w:val="24"/>
        </w:rPr>
        <w:t>，并确保处置过程符合国家及地方相关法律法规要求。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绿化垃圾一旦离开学院区域范围，所有风险服务商自行承担。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采购人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要求采购报价车数为150车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，服务商</w:t>
      </w:r>
      <w:r>
        <w:rPr>
          <w:rFonts w:hint="eastAsia" w:ascii="仿宋" w:hAnsi="仿宋" w:eastAsia="仿宋" w:cs="仿宋"/>
          <w:sz w:val="24"/>
          <w:szCs w:val="24"/>
        </w:rPr>
        <w:t>不单独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</w:t>
      </w:r>
      <w:r>
        <w:rPr>
          <w:rFonts w:hint="eastAsia" w:ascii="仿宋" w:hAnsi="仿宋" w:eastAsia="仿宋" w:cs="仿宋"/>
          <w:sz w:val="24"/>
          <w:szCs w:val="24"/>
        </w:rPr>
        <w:t>场地租赁费用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或垃圾处置费用，</w:t>
      </w:r>
      <w:r>
        <w:rPr>
          <w:rFonts w:hint="eastAsia" w:ascii="仿宋" w:hAnsi="仿宋" w:eastAsia="仿宋" w:cs="仿宋"/>
          <w:sz w:val="24"/>
          <w:szCs w:val="24"/>
        </w:rPr>
        <w:t>成本应包含于清运报价中。</w:t>
      </w:r>
    </w:p>
    <w:p w14:paraId="0EC19B93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2.清运服务：服务商需根据采购人通知，及时派出专用车辆至指定地点，装运绿化垃圾，并安全运送。</w:t>
      </w:r>
    </w:p>
    <w:p w14:paraId="7620BEB6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车辆要求：</w:t>
      </w:r>
      <w:r>
        <w:rPr>
          <w:rFonts w:hint="eastAsia" w:ascii="仿宋" w:hAnsi="仿宋" w:eastAsia="仿宋" w:cs="仿宋"/>
          <w:sz w:val="24"/>
          <w:szCs w:val="24"/>
        </w:rPr>
        <w:t>清运车辆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装载方数应大于等于10立方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且</w:t>
      </w:r>
      <w:r>
        <w:rPr>
          <w:rFonts w:hint="eastAsia" w:ascii="仿宋" w:hAnsi="仿宋" w:eastAsia="仿宋" w:cs="仿宋"/>
          <w:sz w:val="24"/>
          <w:szCs w:val="24"/>
        </w:rPr>
        <w:t>证照齐全，车况良好，密闭运输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需在报名表内附车辆类型图片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，不得在运输过程中出现遗撒、滴漏等现象。</w:t>
      </w:r>
    </w:p>
    <w:p w14:paraId="40B366D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响应时间：在接到清运通知后，应在</w:t>
      </w:r>
      <w:bookmarkStart w:id="0" w:name="_GoBack"/>
      <w:r>
        <w:rPr>
          <w:rFonts w:hint="eastAsia" w:ascii="仿宋" w:hAnsi="仿宋" w:eastAsia="仿宋" w:cs="仿宋"/>
          <w:sz w:val="24"/>
          <w:szCs w:val="24"/>
        </w:rPr>
        <w:t>约定</w:t>
      </w:r>
      <w:bookmarkEnd w:id="0"/>
      <w:r>
        <w:rPr>
          <w:rFonts w:hint="eastAsia" w:ascii="仿宋" w:hAnsi="仿宋" w:eastAsia="仿宋" w:cs="仿宋"/>
          <w:sz w:val="24"/>
          <w:szCs w:val="24"/>
        </w:rPr>
        <w:t>的时间内到达指定地点进行作业。</w:t>
      </w:r>
    </w:p>
    <w:p w14:paraId="6CF867D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装载要求：保证满载、安全运输，不得无故拒绝装运或半载离场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装载机械学院自行安排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436AA63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 w14:paraId="6CF362E2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三、服务期限</w:t>
      </w:r>
    </w:p>
    <w:p w14:paraId="6FBFFB22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自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</w:t>
      </w:r>
      <w:r>
        <w:rPr>
          <w:rFonts w:hint="eastAsia" w:ascii="仿宋" w:hAnsi="仿宋" w:eastAsia="仿宋" w:cs="仿宋"/>
          <w:sz w:val="24"/>
          <w:szCs w:val="24"/>
        </w:rPr>
        <w:t>之日起一年。费用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依据中标报价</w:t>
      </w:r>
      <w:r>
        <w:rPr>
          <w:rFonts w:hint="eastAsia" w:ascii="仿宋" w:hAnsi="仿宋" w:eastAsia="仿宋" w:cs="仿宋"/>
          <w:sz w:val="24"/>
          <w:szCs w:val="24"/>
        </w:rPr>
        <w:t>使用完毕或服务期满即终止。</w:t>
      </w:r>
    </w:p>
    <w:p w14:paraId="5CC0A7B8">
      <w:pPr>
        <w:spacing w:line="240" w:lineRule="auto"/>
        <w:rPr>
          <w:rFonts w:hint="eastAsia" w:ascii="仿宋" w:hAnsi="仿宋" w:eastAsia="仿宋" w:cs="仿宋"/>
          <w:sz w:val="24"/>
          <w:szCs w:val="24"/>
        </w:rPr>
      </w:pPr>
    </w:p>
    <w:p w14:paraId="1DF57D71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四、报价及结算方式</w:t>
      </w:r>
    </w:p>
    <w:p w14:paraId="7F44EDF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1.报价要求：服务商须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</w:t>
      </w:r>
      <w:r>
        <w:rPr>
          <w:rFonts w:hint="eastAsia" w:ascii="仿宋" w:hAnsi="仿宋" w:eastAsia="仿宋" w:cs="仿宋"/>
          <w:sz w:val="24"/>
          <w:szCs w:val="24"/>
        </w:rPr>
        <w:t>“元/车”为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单价，结合150车</w:t>
      </w:r>
      <w:r>
        <w:rPr>
          <w:rFonts w:hint="eastAsia" w:ascii="仿宋" w:hAnsi="仿宋" w:eastAsia="仿宋" w:cs="仿宋"/>
          <w:sz w:val="24"/>
          <w:szCs w:val="24"/>
        </w:rPr>
        <w:t>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以总</w:t>
      </w:r>
      <w:r>
        <w:rPr>
          <w:rFonts w:hint="eastAsia" w:ascii="仿宋" w:hAnsi="仿宋" w:eastAsia="仿宋" w:cs="仿宋"/>
          <w:sz w:val="24"/>
          <w:szCs w:val="24"/>
        </w:rPr>
        <w:t>价。此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为综合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</w:t>
      </w:r>
      <w:r>
        <w:rPr>
          <w:rFonts w:hint="eastAsia" w:ascii="仿宋" w:hAnsi="仿宋" w:eastAsia="仿宋" w:cs="仿宋"/>
          <w:sz w:val="24"/>
          <w:szCs w:val="24"/>
        </w:rPr>
        <w:t>，应包含但不限于：提供符合要求的处置场地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或者进行无害化处理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及承担其全部费用、车辆及人员费用、油料费、维修费、处置费、税费、利润、风险等所有与履行本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义务相关的一切费用。采购人不再支付任何其他费用。</w:t>
      </w:r>
    </w:p>
    <w:p w14:paraId="524E2168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2.结算方式：按实际发生的清运车次进行结算。每次清运完成后，由采购人与服务商双方代表共同签字确认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《清运确认单》</w:t>
      </w:r>
      <w:r>
        <w:rPr>
          <w:rFonts w:hint="eastAsia" w:ascii="仿宋" w:hAnsi="仿宋" w:eastAsia="仿宋" w:cs="仿宋"/>
          <w:sz w:val="24"/>
          <w:szCs w:val="24"/>
        </w:rPr>
        <w:t>，作为结算的有效凭证。采购人定期（如每月）根据确认的单据数量与约定单价进行支付，累计支付金额不超过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中标金额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7ACFF70F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3BA4B55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五、服务标准与质量要求</w:t>
      </w:r>
    </w:p>
    <w:p w14:paraId="668BA81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1.处置场地不得对周边环境造成二次污染，符合环保部门的管理要求。</w:t>
      </w:r>
    </w:p>
    <w:p w14:paraId="7BFF6BD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2.清运过程文明、规范，不得损坏采购人的公共设施及绿化。</w:t>
      </w:r>
    </w:p>
    <w:p w14:paraId="255960B3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3.保持联络畅通，响应及时。</w:t>
      </w:r>
    </w:p>
    <w:p w14:paraId="1DD9DD8A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4.遵守采购人单位的相关管理规定。</w:t>
      </w:r>
    </w:p>
    <w:p w14:paraId="173D6364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10F74576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、响应文件组成</w:t>
      </w:r>
    </w:p>
    <w:p w14:paraId="77001EAD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营业执照副本复印件。</w:t>
      </w:r>
    </w:p>
    <w:p w14:paraId="434D6459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 法定代表人身份证明书及法定代表人身份证复印件。</w:t>
      </w:r>
    </w:p>
    <w:p w14:paraId="5EE0FD19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 授权委托书及被授权人身份证复印件（如适用）。</w:t>
      </w:r>
    </w:p>
    <w:p w14:paraId="2960BDCE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 服务报价表（明确填报“元/车”的单价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150车的总价</w:t>
      </w:r>
      <w:r>
        <w:rPr>
          <w:rFonts w:hint="eastAsia" w:ascii="仿宋" w:hAnsi="仿宋" w:eastAsia="仿宋" w:cs="仿宋"/>
          <w:sz w:val="24"/>
          <w:szCs w:val="24"/>
        </w:rPr>
        <w:t>）。</w:t>
      </w:r>
    </w:p>
    <w:p w14:paraId="01340155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5. 堆放场地的附图，车辆附图。</w:t>
      </w:r>
    </w:p>
    <w:p w14:paraId="305A76D4"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 w14:paraId="68C7E07E"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、其他要求</w:t>
      </w:r>
    </w:p>
    <w:p w14:paraId="47D3BD40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1.供应商在报价时，即视为已充分了解并承诺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有能力</w:t>
      </w:r>
      <w:r>
        <w:rPr>
          <w:rFonts w:hint="eastAsia" w:ascii="仿宋" w:hAnsi="仿宋" w:eastAsia="仿宋" w:cs="仿宋"/>
          <w:sz w:val="24"/>
          <w:szCs w:val="24"/>
        </w:rPr>
        <w:t>解决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绿化垃圾的</w:t>
      </w:r>
      <w:r>
        <w:rPr>
          <w:rFonts w:hint="eastAsia" w:ascii="仿宋" w:hAnsi="仿宋" w:eastAsia="仿宋" w:cs="仿宋"/>
          <w:sz w:val="24"/>
          <w:szCs w:val="24"/>
        </w:rPr>
        <w:t>问题，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包含自有合理合法的堆放场地或者垃圾集中处理的方式，</w:t>
      </w:r>
      <w:r>
        <w:rPr>
          <w:rFonts w:hint="eastAsia" w:ascii="仿宋" w:hAnsi="仿宋" w:eastAsia="仿宋" w:cs="仿宋"/>
          <w:sz w:val="24"/>
          <w:szCs w:val="24"/>
        </w:rPr>
        <w:t>相关费用已包含在所报清运单价中。</w:t>
      </w:r>
    </w:p>
    <w:p w14:paraId="241249B1"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履行期间，若因政策变化或不可抗力导致服务无法继续，双方可协商解除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服务</w:t>
      </w:r>
      <w:r>
        <w:rPr>
          <w:rFonts w:hint="eastAsia" w:ascii="仿宋" w:hAnsi="仿宋" w:eastAsia="仿宋" w:cs="仿宋"/>
          <w:sz w:val="24"/>
          <w:szCs w:val="24"/>
        </w:rPr>
        <w:t>，按实结算。</w:t>
      </w:r>
    </w:p>
    <w:p w14:paraId="02D312B5">
      <w:pPr>
        <w:spacing w:line="360" w:lineRule="auto"/>
        <w:rPr>
          <w:rFonts w:hint="eastAsia" w:ascii="仿宋" w:hAnsi="仿宋" w:eastAsia="仿宋" w:cs="仿宋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D201A9C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《清运确认单》</w:t>
      </w:r>
    </w:p>
    <w:p w14:paraId="289C030A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7"/>
        <w:gridCol w:w="2100"/>
        <w:gridCol w:w="2908"/>
        <w:gridCol w:w="3162"/>
        <w:gridCol w:w="2861"/>
      </w:tblGrid>
      <w:tr w14:paraId="39B99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5DF5D6F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00" w:type="dxa"/>
          </w:tcPr>
          <w:p w14:paraId="4154F1D8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车数</w:t>
            </w:r>
          </w:p>
        </w:tc>
        <w:tc>
          <w:tcPr>
            <w:tcW w:w="2908" w:type="dxa"/>
          </w:tcPr>
          <w:p w14:paraId="0C199501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服务单位签字</w:t>
            </w:r>
          </w:p>
        </w:tc>
        <w:tc>
          <w:tcPr>
            <w:tcW w:w="3162" w:type="dxa"/>
          </w:tcPr>
          <w:p w14:paraId="2D579A71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采购人确认签字</w:t>
            </w:r>
          </w:p>
        </w:tc>
        <w:tc>
          <w:tcPr>
            <w:tcW w:w="2861" w:type="dxa"/>
          </w:tcPr>
          <w:p w14:paraId="32115100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5E10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3EEED5D1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5AC0DC1B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</w:tcPr>
          <w:p w14:paraId="3EF33663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2" w:type="dxa"/>
          </w:tcPr>
          <w:p w14:paraId="6F7537FF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1" w:type="dxa"/>
          </w:tcPr>
          <w:p w14:paraId="49041669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53B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4EB83150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7601DEE9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</w:tcPr>
          <w:p w14:paraId="756865EF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2" w:type="dxa"/>
          </w:tcPr>
          <w:p w14:paraId="770EDAFB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1" w:type="dxa"/>
          </w:tcPr>
          <w:p w14:paraId="6D58FC45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0C7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79E8CD79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0A864465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</w:tcPr>
          <w:p w14:paraId="43A5D0DA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2" w:type="dxa"/>
          </w:tcPr>
          <w:p w14:paraId="64FF5994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1" w:type="dxa"/>
          </w:tcPr>
          <w:p w14:paraId="383AB05B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F2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28992BE1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1D4567F9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</w:tcPr>
          <w:p w14:paraId="477C5C35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2" w:type="dxa"/>
          </w:tcPr>
          <w:p w14:paraId="0328209A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1" w:type="dxa"/>
          </w:tcPr>
          <w:p w14:paraId="432C1C3D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C2F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788912A6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46F792E3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</w:tcPr>
          <w:p w14:paraId="1FDD8B6A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2" w:type="dxa"/>
          </w:tcPr>
          <w:p w14:paraId="6535ECF2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1" w:type="dxa"/>
          </w:tcPr>
          <w:p w14:paraId="2C2ECF93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5F9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5AB45D36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039C0593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</w:tcPr>
          <w:p w14:paraId="2BB9B082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2" w:type="dxa"/>
          </w:tcPr>
          <w:p w14:paraId="0C86B6B5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1" w:type="dxa"/>
          </w:tcPr>
          <w:p w14:paraId="3EDA4D56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8C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7" w:type="dxa"/>
          </w:tcPr>
          <w:p w14:paraId="2E84F229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</w:tcPr>
          <w:p w14:paraId="588E0CAD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8" w:type="dxa"/>
          </w:tcPr>
          <w:p w14:paraId="739D8EE0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62" w:type="dxa"/>
          </w:tcPr>
          <w:p w14:paraId="7F27A88B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61" w:type="dxa"/>
          </w:tcPr>
          <w:p w14:paraId="44AA8BAE">
            <w:pPr>
              <w:spacing w:line="360" w:lineRule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36153F9">
      <w:pPr>
        <w:spacing w:line="360" w:lineRule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563B5"/>
    <w:rsid w:val="05BC1DCB"/>
    <w:rsid w:val="09B130C8"/>
    <w:rsid w:val="0A9D7C34"/>
    <w:rsid w:val="52500CC4"/>
    <w:rsid w:val="65DB7171"/>
    <w:rsid w:val="6C2E6A22"/>
    <w:rsid w:val="7B28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1192</Words>
  <Characters>1219</Characters>
  <Lines>0</Lines>
  <Paragraphs>0</Paragraphs>
  <TotalTime>1162</TotalTime>
  <ScaleCrop>false</ScaleCrop>
  <LinksUpToDate>false</LinksUpToDate>
  <CharactersWithSpaces>1232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2025-10-14T01:18:00Z</dcterms:created>
  <dc:creator>电脑办公</dc:creator>
  <cp:lastModifiedBy>金木夏</cp:lastModifiedBy>
  <dcterms:modified xsi:type="dcterms:W3CDTF">2025-10-22T07:46:43Z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eyJoZGlkIjoiZjIzNDViMWRkMzJiMDQwODUwYzM3MTNkYWI0MDZmZWQiLCJ1c2VySWQiOiI3Mjg5OTczMTUifQ==</vt:lpwstr>
  </property>
  <property fmtid="{D5CDD505-2E9C-101B-9397-08002B2CF9AE}" pid="4" name="ICV">
    <vt:lpwstr>FCE4E33382A949C6A0DBA7642E9E91AF_12</vt:lpwstr>
  </property>
</Properties>
</file>