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CCDA" w14:textId="4848B754" w:rsidR="000132D8" w:rsidRDefault="002D37D7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附件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</w:p>
    <w:p w14:paraId="38A135F5" w14:textId="77777777" w:rsidR="002D37D7" w:rsidRDefault="002D37D7" w:rsidP="002D37D7">
      <w:pPr>
        <w:widowControl/>
        <w:jc w:val="center"/>
        <w:rPr>
          <w:rFonts w:ascii="黑体" w:eastAsia="黑体" w:hAnsi="黑体" w:cs="Times New Roman"/>
          <w:color w:val="000000"/>
          <w:kern w:val="0"/>
          <w:sz w:val="44"/>
          <w:szCs w:val="44"/>
          <w:lang w:bidi="ar"/>
        </w:rPr>
      </w:pPr>
    </w:p>
    <w:p w14:paraId="63996F41" w14:textId="28ADF9D1" w:rsidR="000132D8" w:rsidRPr="002D37D7" w:rsidRDefault="002D37D7" w:rsidP="002D37D7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2D37D7">
        <w:rPr>
          <w:rFonts w:ascii="黑体" w:eastAsia="黑体" w:hAnsi="黑体" w:cs="Times New Roman"/>
          <w:color w:val="000000"/>
          <w:kern w:val="0"/>
          <w:sz w:val="44"/>
          <w:szCs w:val="44"/>
          <w:lang w:bidi="ar"/>
        </w:rPr>
        <w:t>2025</w:t>
      </w:r>
      <w:r w:rsidRPr="002D37D7">
        <w:rPr>
          <w:rFonts w:ascii="黑体" w:eastAsia="黑体" w:hAnsi="黑体" w:cs="FZXiaoBiaoSong-B05S"/>
          <w:color w:val="000000"/>
          <w:kern w:val="0"/>
          <w:sz w:val="44"/>
          <w:szCs w:val="44"/>
          <w:lang w:bidi="ar"/>
        </w:rPr>
        <w:t>年度数字化美育资源和</w:t>
      </w:r>
      <w:r w:rsidRPr="002D37D7">
        <w:rPr>
          <w:rFonts w:ascii="黑体" w:eastAsia="黑体" w:hAnsi="黑体" w:cs="FZXiaoBiaoSong-B05S"/>
          <w:color w:val="000000"/>
          <w:kern w:val="0"/>
          <w:sz w:val="44"/>
          <w:szCs w:val="44"/>
          <w:lang w:bidi="ar"/>
        </w:rPr>
        <w:t>智能化美育应用案例征集具体要求</w:t>
      </w:r>
    </w:p>
    <w:p w14:paraId="5BF78C03" w14:textId="77777777" w:rsidR="002D37D7" w:rsidRDefault="002D37D7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</w:p>
    <w:p w14:paraId="49D31AD8" w14:textId="35559AC6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一、数字化美育资源</w:t>
      </w:r>
    </w:p>
    <w:p w14:paraId="4320A061" w14:textId="301F5B39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KaiTi_GB2312" w:eastAsia="KaiTi_GB2312" w:hAnsi="KaiTi_GB2312" w:cs="KaiTi_GB2312"/>
          <w:color w:val="000000"/>
          <w:kern w:val="0"/>
          <w:sz w:val="31"/>
          <w:szCs w:val="31"/>
          <w:lang w:bidi="ar"/>
        </w:rPr>
        <w:t>（一）艺术技能资源</w:t>
      </w:r>
    </w:p>
    <w:p w14:paraId="55EC7868" w14:textId="6A3C8CD2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聚焦音乐、美术、舞蹈、戏曲与戏剧、设计、媒体艺术等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6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大艺术门类及其所含艺术类别，征集艺术技能课程资源。满足中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小学学生兴趣特长发展需要，支持中小学教师优化教学设计、丰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富教学内容、开展线上线下混合教学。内容以视频形式呈现。每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门课程资源作者不超过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8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人。艺术技能资源应具有结构化、体系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化和完整性，由若干个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10—20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分钟讲解视频组成。每门课程资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源的视频数量不少于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FangSong_GB2312" w:eastAsia="FangSong_GB2312" w:hAnsi="FangSong_GB2312" w:cs="FangSong_GB2312"/>
          <w:color w:val="000000"/>
          <w:kern w:val="0"/>
          <w:sz w:val="31"/>
          <w:szCs w:val="31"/>
          <w:lang w:bidi="ar"/>
        </w:rPr>
        <w:t>个、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10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个。</w:t>
      </w:r>
    </w:p>
    <w:p w14:paraId="5407217B" w14:textId="6AEA26CD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讲解视频需采用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“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教师讲解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+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多媒体大屏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”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的形式，适当呈现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授课教师画面，增强教学的交互性和画面的可视性。单个讲解视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频时长一般为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10—20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分钟。讲解视频中所用课件及其嵌入的媒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体素材应确保内容清晰无误，界面设计简明、布局合理、重点突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出，风格统一。</w:t>
      </w:r>
      <w:proofErr w:type="gramStart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模版可在</w:t>
      </w:r>
      <w:proofErr w:type="gramEnd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活动平台下载。讲解视频应包含片头，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时长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秒，文字信息包括：艺术门类类别、课程名称、主讲教师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等。</w:t>
      </w:r>
    </w:p>
    <w:p w14:paraId="6E21703F" w14:textId="70102DB1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lastRenderedPageBreak/>
        <w:t>录制环境安静无噪音，光照充足均匀，教师语言规范，声音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响亮。视频画面流畅、图像清晰，语音与字幕、口型同步，视频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中出现的字清晰，字幕无错别字。避免出现画面质量模糊、无版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权授权的影像画面。视频画面的比例为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16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：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9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，大小不超过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1G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编码格式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H.264/25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帧，分辨率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1920*1080P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8Mbps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。音频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AAC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编码、码率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128Kbps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</w:t>
      </w:r>
    </w:p>
    <w:p w14:paraId="3053BDC5" w14:textId="42923FB5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KaiTi_GB2312" w:eastAsia="KaiTi_GB2312" w:hAnsi="KaiTi_GB2312" w:cs="KaiTi_GB2312"/>
          <w:color w:val="000000"/>
          <w:kern w:val="0"/>
          <w:sz w:val="31"/>
          <w:szCs w:val="31"/>
          <w:lang w:bidi="ar"/>
        </w:rPr>
        <w:t>（二）艺术活动资源</w:t>
      </w:r>
    </w:p>
    <w:p w14:paraId="2BCDF6DB" w14:textId="37B5C9C6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聚焦区域和中小学校的美育专项实践成果，征集高雅艺术进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校园优质演出剧目、完整形态的美育实践活动成果、数字艺术创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作成果、区域学校特色美育项目成果资源。展示实施学校美育浸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润行动的优秀成果，分享师生美育素养提升的可复制推广经验。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内容以视频形式呈现，包括以下两类形式：</w:t>
      </w:r>
    </w:p>
    <w:p w14:paraId="69C7E75B" w14:textId="7A888F55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剧目演出活动</w:t>
      </w:r>
    </w:p>
    <w:p w14:paraId="17423DF9" w14:textId="4CD76717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剧目演出活动需采用多机位拍摄的形式，保证画面的观赏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性、可视性。单个视频时长一般为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20—50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分钟。每个剧目演出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活动的视频数量不少于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个、不超过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8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个。剧目演出活动视频应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包含片头，时长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秒，文字信息包括：艺术活动名称、演出剧目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活动名称、参演人员信息等。</w:t>
      </w:r>
    </w:p>
    <w:p w14:paraId="0020920E" w14:textId="69CEA7E9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录制环境安静无噪音，视频画面流畅，图像、声音清晰，不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抖动。语音与字幕、口型同步，视频中出现的字清晰，字幕无错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别字。视频画面的比例为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16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：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9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，大小不超过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3G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，编码格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lastRenderedPageBreak/>
        <w:t>式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H.264/25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帧，分辨率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1920*1080P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8Mbps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。音频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AAC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编码、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128Kbps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</w:t>
      </w:r>
    </w:p>
    <w:p w14:paraId="70E43D6E" w14:textId="49C47E36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2.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成果展示活动</w:t>
      </w:r>
    </w:p>
    <w:p w14:paraId="2B529604" w14:textId="5E581218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成果展出活动</w:t>
      </w:r>
      <w:proofErr w:type="gramStart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需主题</w:t>
      </w:r>
      <w:proofErr w:type="gramEnd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明确突出，镜头运用流畅，剪辑节奏明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快。单个视频时长一般为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6—15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分钟。每个成果展示活动的视频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数量不少于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个、不超过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3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个。成果展示活动视频应包含片头，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时长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秒，文字信息包括：成果展出活动名称、单位信息等。</w:t>
      </w:r>
    </w:p>
    <w:p w14:paraId="7DB152C6" w14:textId="07CA29E6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视频画面流畅，图像、声音清晰。语音与字幕、口型同步，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应使用标准的普通话，语言流畅，无错别字。避免出现画面质量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模糊、无版权授权的影像画面。涉及人物访谈内容时，应加注人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物介绍。视频画面的比例为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16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：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9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，大小不超过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3G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，编码格式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H.264/25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帧，分辨率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1920*1080P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8Mbps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。音频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AAC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编码、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128Kbps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</w:t>
      </w:r>
    </w:p>
    <w:p w14:paraId="42D4F6D4" w14:textId="78FC8C89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二、智能化美育应用案例</w:t>
      </w:r>
    </w:p>
    <w:p w14:paraId="11C2776F" w14:textId="70DF7115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聚焦人工智能、虚拟仿真、大数据等数字技术在美育教育教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学全要素全过程的应用，总结</w:t>
      </w:r>
      <w:proofErr w:type="gramStart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凝练形成成效</w:t>
      </w:r>
      <w:proofErr w:type="gramEnd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显著、可复制推广的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典型案例。</w:t>
      </w:r>
    </w:p>
    <w:p w14:paraId="00E269FE" w14:textId="6E68143E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KaiTi_GB2312" w:eastAsia="KaiTi_GB2312" w:hAnsi="KaiTi_GB2312" w:cs="KaiTi_GB2312"/>
          <w:color w:val="000000"/>
          <w:kern w:val="0"/>
          <w:sz w:val="31"/>
          <w:szCs w:val="31"/>
          <w:lang w:bidi="ar"/>
        </w:rPr>
        <w:t>（一）案例征集方向</w:t>
      </w:r>
    </w:p>
    <w:p w14:paraId="47AA1E00" w14:textId="3AE9212D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数字技术与美育教学内容的融合。基于人工智能、虚拟仿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真、数字创作工具等技术和在线资源平台，突破时间空间限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lastRenderedPageBreak/>
        <w:t>制，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丰富美育教学内容，提升学生的艺术感知能力、审美和人文素养。</w:t>
      </w:r>
    </w:p>
    <w:p w14:paraId="03D0F3CA" w14:textId="6CE684C4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2.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数字技术与美育教学场景的融合。基于虚实结合、线上线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下结合等方式，构建虚拟艺术展厅、数字人等，实现跨时空艺术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对话，开展云端跨区域教学、教研、协作创作等，拓展美育实践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场景。</w:t>
      </w:r>
    </w:p>
    <w:p w14:paraId="580AE4E8" w14:textId="6F20D921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3.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学生自主学习过程的智能指导。基于人工智能、大数据等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技术，为学生提供实时互动的伴随式学习支持与精准化学习反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馈，开展个性化教与学。</w:t>
      </w:r>
    </w:p>
    <w:p w14:paraId="2DDC7226" w14:textId="0264D5E6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4.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数字化美育资源的建设应用。基于人工智能、数字创作工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具等技术，构建美育知识图谱，创新数字化美育资源建设和应用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方式。</w:t>
      </w:r>
    </w:p>
    <w:p w14:paraId="2CDA012D" w14:textId="59208685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KaiTi_GB2312" w:eastAsia="KaiTi_GB2312" w:hAnsi="KaiTi_GB2312" w:cs="KaiTi_GB2312"/>
          <w:color w:val="000000"/>
          <w:kern w:val="0"/>
          <w:sz w:val="31"/>
          <w:szCs w:val="31"/>
          <w:lang w:bidi="ar"/>
        </w:rPr>
        <w:t>（二）案例内容（包括但不限于以下形式）</w:t>
      </w:r>
    </w:p>
    <w:p w14:paraId="2D1005A9" w14:textId="716E928C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一份凝练实践经验的文字材料。注重内容的可读性，字数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控制在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5000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字以内。</w:t>
      </w:r>
    </w:p>
    <w:p w14:paraId="009AEAA1" w14:textId="7A0606C3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2.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一个展现智能化推进过程的视频介绍。注重内容的叙述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性，时</w:t>
      </w:r>
      <w:proofErr w:type="gramStart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长控制</w:t>
      </w:r>
      <w:proofErr w:type="gramEnd"/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在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10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分钟以内。包含片头，片头时长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秒，文字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信息包括：主题、单位名称等。视频画面的比例为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16</w:t>
      </w:r>
      <w:r>
        <w:rPr>
          <w:rFonts w:ascii="FZSongS-Extended" w:eastAsia="FZSongS-Extended" w:hAnsi="FZSongS-Extended" w:cs="FZSongS-Extended"/>
          <w:color w:val="060607"/>
          <w:kern w:val="0"/>
          <w:sz w:val="31"/>
          <w:szCs w:val="31"/>
          <w:lang w:bidi="ar"/>
        </w:rPr>
        <w:t>∶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9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，大小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3G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，编码格式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H.264/25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帧，分辨率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1920*1080P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，码率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8Mbps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。音频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AAC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编码、码率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128Kbps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。</w:t>
      </w:r>
    </w:p>
    <w:p w14:paraId="12AF3A17" w14:textId="543E6385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3.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一系列支撑案例成果的材料。内容真实有效，总数不超过</w:t>
      </w:r>
      <w:r>
        <w:rPr>
          <w:rFonts w:ascii="Times New Roman" w:eastAsia="宋体" w:hAnsi="Times New Roman" w:cs="Times New Roman"/>
          <w:color w:val="060607"/>
          <w:kern w:val="0"/>
          <w:sz w:val="31"/>
          <w:szCs w:val="31"/>
          <w:lang w:bidi="ar"/>
        </w:rPr>
        <w:t>5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件，可以是图文、视频等。</w:t>
      </w:r>
    </w:p>
    <w:p w14:paraId="3B53D40F" w14:textId="24C743EC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KaiTi_GB2312" w:eastAsia="KaiTi_GB2312" w:hAnsi="KaiTi_GB2312" w:cs="KaiTi_GB2312"/>
          <w:color w:val="000000"/>
          <w:kern w:val="0"/>
          <w:sz w:val="31"/>
          <w:szCs w:val="31"/>
          <w:lang w:bidi="ar"/>
        </w:rPr>
        <w:lastRenderedPageBreak/>
        <w:t>（三）撰写要求</w:t>
      </w:r>
    </w:p>
    <w:p w14:paraId="71023D2B" w14:textId="12F41D70" w:rsidR="000132D8" w:rsidRDefault="002D37D7" w:rsidP="002D37D7">
      <w:pPr>
        <w:widowControl/>
        <w:spacing w:line="360" w:lineRule="auto"/>
        <w:ind w:firstLineChars="200" w:firstLine="620"/>
      </w:pP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案例应结合征集方向，描述自身在面对教育改革与发展的一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个或多个问题时，采用的数字技术方案和工作机制，取得的阶段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性成果与创新之处，下一步发展的打算等。注重过程性、真实性</w:t>
      </w:r>
      <w:r>
        <w:rPr>
          <w:rFonts w:ascii="FangSong_GB2312" w:eastAsia="FangSong_GB2312" w:hAnsi="FangSong_GB2312" w:cs="FangSong_GB2312"/>
          <w:color w:val="060607"/>
          <w:kern w:val="0"/>
          <w:sz w:val="31"/>
          <w:szCs w:val="31"/>
          <w:lang w:bidi="ar"/>
        </w:rPr>
        <w:t>和时效性。</w:t>
      </w:r>
    </w:p>
    <w:p w14:paraId="56A96F9D" w14:textId="77777777" w:rsidR="000132D8" w:rsidRDefault="000132D8" w:rsidP="002D37D7">
      <w:pPr>
        <w:spacing w:line="360" w:lineRule="auto"/>
        <w:ind w:firstLineChars="200" w:firstLine="420"/>
      </w:pPr>
    </w:p>
    <w:sectPr w:rsidR="0001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5950" w14:textId="77777777" w:rsidR="002D37D7" w:rsidRDefault="002D37D7" w:rsidP="002D37D7">
      <w:r>
        <w:separator/>
      </w:r>
    </w:p>
  </w:endnote>
  <w:endnote w:type="continuationSeparator" w:id="0">
    <w:p w14:paraId="77A06C5F" w14:textId="77777777" w:rsidR="002D37D7" w:rsidRDefault="002D37D7" w:rsidP="002D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Segoe Print"/>
    <w:charset w:val="00"/>
    <w:family w:val="auto"/>
    <w:pitch w:val="default"/>
  </w:font>
  <w:font w:name="KaiTi_GB2312">
    <w:panose1 w:val="02010609060101010101"/>
    <w:charset w:val="00"/>
    <w:family w:val="auto"/>
    <w:pitch w:val="default"/>
  </w:font>
  <w:font w:name="FangSong_GB2312">
    <w:panose1 w:val="02010609060101010101"/>
    <w:charset w:val="00"/>
    <w:family w:val="auto"/>
    <w:pitch w:val="default"/>
  </w:font>
  <w:font w:name="FZSongS-Extende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CE09" w14:textId="77777777" w:rsidR="002D37D7" w:rsidRDefault="002D37D7" w:rsidP="002D37D7">
      <w:r>
        <w:separator/>
      </w:r>
    </w:p>
  </w:footnote>
  <w:footnote w:type="continuationSeparator" w:id="0">
    <w:p w14:paraId="50F40D2A" w14:textId="77777777" w:rsidR="002D37D7" w:rsidRDefault="002D37D7" w:rsidP="002D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D8"/>
    <w:rsid w:val="000132D8"/>
    <w:rsid w:val="002D37D7"/>
    <w:rsid w:val="00C363C1"/>
    <w:rsid w:val="0B94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D99BC"/>
  <w15:docId w15:val="{63F01AA7-64D8-4031-8F49-C09AA050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37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37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D3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37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2025-08-17T12:12:00Z</dcterms:created>
  <dcterms:modified xsi:type="dcterms:W3CDTF">2025-08-17T12:18:00Z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eyJoZGlkIjoiODYzYjAxMGI2ZDhjZjMwODQzYjk2YmU3NDU3OTA2NDcifQ==</vt:lpwstr>
  </property>
  <property fmtid="{D5CDD505-2E9C-101B-9397-08002B2CF9AE}" pid="4" name="ICV">
    <vt:lpwstr>27D3A87E5F094459A0151B7EAE1732A3_12</vt:lpwstr>
  </property>
</Properties>
</file>